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CDB3" w14:textId="66EDEBE8" w:rsidR="00315376" w:rsidRPr="00F30B46" w:rsidRDefault="00315376" w:rsidP="00315376">
      <w:pPr>
        <w:rPr>
          <w:b/>
          <w:sz w:val="24"/>
          <w:szCs w:val="24"/>
          <w:u w:val="single"/>
        </w:rPr>
      </w:pPr>
      <w:r w:rsidRPr="00F30B46">
        <w:rPr>
          <w:b/>
          <w:sz w:val="24"/>
          <w:szCs w:val="24"/>
          <w:u w:val="single"/>
        </w:rPr>
        <w:t xml:space="preserve">Reconciliation subgroup meeting, </w:t>
      </w:r>
      <w:r>
        <w:rPr>
          <w:b/>
          <w:sz w:val="24"/>
          <w:szCs w:val="24"/>
          <w:u w:val="single"/>
        </w:rPr>
        <w:t>Thurs</w:t>
      </w:r>
      <w:r w:rsidRPr="00F30B46">
        <w:rPr>
          <w:b/>
          <w:sz w:val="24"/>
          <w:szCs w:val="24"/>
          <w:u w:val="single"/>
        </w:rPr>
        <w:t>day</w:t>
      </w:r>
      <w:r w:rsidR="00DA7B5F">
        <w:rPr>
          <w:b/>
          <w:sz w:val="24"/>
          <w:szCs w:val="24"/>
          <w:u w:val="single"/>
        </w:rPr>
        <w:t xml:space="preserve"> </w:t>
      </w:r>
      <w:r w:rsidR="00B75CE3">
        <w:rPr>
          <w:b/>
          <w:sz w:val="24"/>
          <w:szCs w:val="24"/>
          <w:u w:val="single"/>
        </w:rPr>
        <w:t>6</w:t>
      </w:r>
      <w:r w:rsidR="009E6AA3" w:rsidRPr="009E6AA3">
        <w:rPr>
          <w:b/>
          <w:sz w:val="24"/>
          <w:szCs w:val="24"/>
          <w:u w:val="single"/>
          <w:vertAlign w:val="superscript"/>
        </w:rPr>
        <w:t>th</w:t>
      </w:r>
      <w:r w:rsidR="009E6AA3">
        <w:rPr>
          <w:b/>
          <w:sz w:val="24"/>
          <w:szCs w:val="24"/>
          <w:u w:val="single"/>
        </w:rPr>
        <w:t xml:space="preserve"> </w:t>
      </w:r>
      <w:r>
        <w:rPr>
          <w:b/>
          <w:sz w:val="24"/>
          <w:szCs w:val="24"/>
          <w:u w:val="single"/>
        </w:rPr>
        <w:t>February 202</w:t>
      </w:r>
      <w:r w:rsidR="00B75CE3">
        <w:rPr>
          <w:b/>
          <w:sz w:val="24"/>
          <w:szCs w:val="24"/>
          <w:u w:val="single"/>
        </w:rPr>
        <w:t>5</w:t>
      </w:r>
      <w:r w:rsidRPr="00F30B46">
        <w:rPr>
          <w:b/>
          <w:sz w:val="24"/>
          <w:szCs w:val="24"/>
          <w:u w:val="single"/>
        </w:rPr>
        <w:t xml:space="preserve"> via Microsoft Teams </w:t>
      </w:r>
    </w:p>
    <w:p w14:paraId="0A7D16F6" w14:textId="77777777" w:rsidR="00315376" w:rsidRPr="00F30B46" w:rsidRDefault="00315376" w:rsidP="00315376">
      <w:pPr>
        <w:rPr>
          <w:b/>
          <w:sz w:val="24"/>
          <w:szCs w:val="24"/>
          <w:u w:val="single"/>
        </w:rPr>
      </w:pPr>
      <w:r w:rsidRPr="00F30B46">
        <w:rPr>
          <w:b/>
          <w:sz w:val="24"/>
          <w:szCs w:val="24"/>
          <w:u w:val="single"/>
        </w:rPr>
        <w:t>Attendees:</w:t>
      </w:r>
    </w:p>
    <w:p w14:paraId="719E545F" w14:textId="19CE6F27" w:rsidR="00D34712" w:rsidRDefault="001F3AA3" w:rsidP="00315376">
      <w:pPr>
        <w:rPr>
          <w:sz w:val="24"/>
          <w:szCs w:val="24"/>
        </w:rPr>
      </w:pPr>
      <w:r>
        <w:rPr>
          <w:sz w:val="24"/>
          <w:szCs w:val="24"/>
        </w:rPr>
        <w:t>Jacqui Akinlosotu</w:t>
      </w:r>
      <w:r>
        <w:rPr>
          <w:sz w:val="24"/>
          <w:szCs w:val="24"/>
        </w:rPr>
        <w:tab/>
      </w:r>
      <w:r>
        <w:rPr>
          <w:sz w:val="24"/>
          <w:szCs w:val="24"/>
        </w:rPr>
        <w:tab/>
      </w:r>
      <w:r w:rsidR="00315376" w:rsidRPr="00F30B46">
        <w:rPr>
          <w:sz w:val="24"/>
          <w:szCs w:val="24"/>
        </w:rPr>
        <w:t xml:space="preserve">Mike Earp </w:t>
      </w:r>
      <w:r w:rsidR="00315376" w:rsidRPr="00F30B46">
        <w:rPr>
          <w:sz w:val="24"/>
          <w:szCs w:val="24"/>
        </w:rPr>
        <w:tab/>
      </w:r>
      <w:r w:rsidR="00315376" w:rsidRPr="00F30B46">
        <w:rPr>
          <w:sz w:val="24"/>
          <w:szCs w:val="24"/>
        </w:rPr>
        <w:tab/>
      </w:r>
      <w:r w:rsidR="009F2239">
        <w:rPr>
          <w:sz w:val="24"/>
          <w:szCs w:val="24"/>
        </w:rPr>
        <w:tab/>
      </w:r>
      <w:r w:rsidR="00315376">
        <w:rPr>
          <w:sz w:val="24"/>
          <w:szCs w:val="24"/>
        </w:rPr>
        <w:t>Pat Foster</w:t>
      </w:r>
      <w:r w:rsidR="00315376">
        <w:rPr>
          <w:sz w:val="24"/>
          <w:szCs w:val="24"/>
        </w:rPr>
        <w:tab/>
      </w:r>
      <w:r w:rsidR="00315376">
        <w:rPr>
          <w:sz w:val="24"/>
          <w:szCs w:val="24"/>
        </w:rPr>
        <w:tab/>
      </w:r>
    </w:p>
    <w:p w14:paraId="63FD9170" w14:textId="77777777" w:rsidR="00635887" w:rsidRDefault="001F3AA3" w:rsidP="00315376">
      <w:pPr>
        <w:rPr>
          <w:sz w:val="24"/>
          <w:szCs w:val="24"/>
        </w:rPr>
      </w:pPr>
      <w:r>
        <w:rPr>
          <w:sz w:val="24"/>
          <w:szCs w:val="24"/>
        </w:rPr>
        <w:t>Leo Kellaway</w:t>
      </w:r>
      <w:r>
        <w:rPr>
          <w:sz w:val="24"/>
          <w:szCs w:val="24"/>
        </w:rPr>
        <w:tab/>
      </w:r>
      <w:r>
        <w:rPr>
          <w:sz w:val="24"/>
          <w:szCs w:val="24"/>
        </w:rPr>
        <w:tab/>
      </w:r>
      <w:r>
        <w:rPr>
          <w:sz w:val="24"/>
          <w:szCs w:val="24"/>
        </w:rPr>
        <w:tab/>
      </w:r>
      <w:r w:rsidR="009E6AA3">
        <w:rPr>
          <w:sz w:val="24"/>
          <w:szCs w:val="24"/>
        </w:rPr>
        <w:t>Mark Henderson</w:t>
      </w:r>
      <w:r w:rsidR="00635887">
        <w:rPr>
          <w:sz w:val="24"/>
          <w:szCs w:val="24"/>
        </w:rPr>
        <w:tab/>
      </w:r>
      <w:r w:rsidR="00635887">
        <w:rPr>
          <w:sz w:val="24"/>
          <w:szCs w:val="24"/>
        </w:rPr>
        <w:tab/>
      </w:r>
      <w:r w:rsidR="00DA7B5F">
        <w:rPr>
          <w:sz w:val="24"/>
          <w:szCs w:val="24"/>
        </w:rPr>
        <w:t>Helmi Ben Rh</w:t>
      </w:r>
      <w:r w:rsidR="00B75CE3">
        <w:rPr>
          <w:sz w:val="24"/>
          <w:szCs w:val="24"/>
        </w:rPr>
        <w:t>ouma</w:t>
      </w:r>
    </w:p>
    <w:p w14:paraId="5E7AE040" w14:textId="11C14F74" w:rsidR="00315376" w:rsidRDefault="00635887" w:rsidP="00315376">
      <w:pPr>
        <w:rPr>
          <w:sz w:val="24"/>
          <w:szCs w:val="24"/>
        </w:rPr>
      </w:pPr>
      <w:r w:rsidRPr="00F30B46">
        <w:rPr>
          <w:sz w:val="24"/>
          <w:szCs w:val="24"/>
        </w:rPr>
        <w:t>Hedi Zaghouani</w:t>
      </w:r>
      <w:r w:rsidR="00E040B4">
        <w:rPr>
          <w:sz w:val="24"/>
          <w:szCs w:val="24"/>
        </w:rPr>
        <w:tab/>
      </w:r>
      <w:r w:rsidR="00E040B4">
        <w:rPr>
          <w:sz w:val="24"/>
          <w:szCs w:val="24"/>
        </w:rPr>
        <w:tab/>
      </w:r>
      <w:r w:rsidR="00315376" w:rsidRPr="00F30B46">
        <w:rPr>
          <w:sz w:val="24"/>
          <w:szCs w:val="24"/>
        </w:rPr>
        <w:t>Mike Nash</w:t>
      </w:r>
      <w:r w:rsidR="00DA7B5F">
        <w:rPr>
          <w:sz w:val="24"/>
          <w:szCs w:val="24"/>
        </w:rPr>
        <w:t xml:space="preserve"> (Chair)</w:t>
      </w:r>
    </w:p>
    <w:p w14:paraId="2AF9DCEE" w14:textId="30882152" w:rsidR="00315376" w:rsidRDefault="005C43FF" w:rsidP="00315376">
      <w:pPr>
        <w:rPr>
          <w:b/>
          <w:bCs/>
          <w:sz w:val="24"/>
          <w:szCs w:val="24"/>
          <w:u w:val="single"/>
        </w:rPr>
      </w:pPr>
      <w:r>
        <w:rPr>
          <w:b/>
          <w:bCs/>
          <w:sz w:val="24"/>
          <w:szCs w:val="24"/>
          <w:u w:val="single"/>
        </w:rPr>
        <w:t xml:space="preserve">UK EITI Payments Report </w:t>
      </w:r>
      <w:r w:rsidR="002D4FE9">
        <w:rPr>
          <w:b/>
          <w:bCs/>
          <w:sz w:val="24"/>
          <w:szCs w:val="24"/>
          <w:u w:val="single"/>
        </w:rPr>
        <w:t>2024 Timetable</w:t>
      </w:r>
    </w:p>
    <w:p w14:paraId="1231E230" w14:textId="1AE855D1" w:rsidR="00FF5B4E" w:rsidRPr="00B07393" w:rsidRDefault="00E51641" w:rsidP="00B07393">
      <w:pPr>
        <w:rPr>
          <w:b/>
          <w:bCs/>
          <w:sz w:val="24"/>
          <w:szCs w:val="24"/>
        </w:rPr>
      </w:pPr>
      <w:r w:rsidRPr="00B07393">
        <w:rPr>
          <w:sz w:val="24"/>
          <w:szCs w:val="24"/>
        </w:rPr>
        <w:t xml:space="preserve">The </w:t>
      </w:r>
      <w:r w:rsidR="00004CE1" w:rsidRPr="00B07393">
        <w:rPr>
          <w:sz w:val="24"/>
          <w:szCs w:val="24"/>
        </w:rPr>
        <w:t xml:space="preserve">draft </w:t>
      </w:r>
      <w:r w:rsidRPr="00B07393">
        <w:rPr>
          <w:sz w:val="24"/>
          <w:szCs w:val="24"/>
        </w:rPr>
        <w:t>timetable for the 2024 process was presented to the subgroup</w:t>
      </w:r>
      <w:r w:rsidR="00943702" w:rsidRPr="00B07393">
        <w:rPr>
          <w:sz w:val="24"/>
          <w:szCs w:val="24"/>
        </w:rPr>
        <w:t>. It was agreed</w:t>
      </w:r>
      <w:r w:rsidR="00517B2E" w:rsidRPr="00B07393">
        <w:rPr>
          <w:sz w:val="24"/>
          <w:szCs w:val="24"/>
        </w:rPr>
        <w:t xml:space="preserve"> that </w:t>
      </w:r>
      <w:r w:rsidR="00EE608C" w:rsidRPr="00B07393">
        <w:rPr>
          <w:sz w:val="24"/>
          <w:szCs w:val="24"/>
        </w:rPr>
        <w:t>once</w:t>
      </w:r>
      <w:r w:rsidR="00517B2E" w:rsidRPr="00B07393">
        <w:rPr>
          <w:sz w:val="24"/>
          <w:szCs w:val="24"/>
        </w:rPr>
        <w:t xml:space="preserve"> the MSG have approved the process</w:t>
      </w:r>
      <w:r w:rsidR="00943702" w:rsidRPr="00B07393">
        <w:rPr>
          <w:sz w:val="24"/>
          <w:szCs w:val="24"/>
        </w:rPr>
        <w:t xml:space="preserve"> </w:t>
      </w:r>
      <w:r w:rsidR="00517B2E" w:rsidRPr="00B07393">
        <w:rPr>
          <w:sz w:val="24"/>
          <w:szCs w:val="24"/>
        </w:rPr>
        <w:t>to</w:t>
      </w:r>
      <w:r w:rsidR="00516BC9" w:rsidRPr="00B07393">
        <w:rPr>
          <w:sz w:val="24"/>
          <w:szCs w:val="24"/>
        </w:rPr>
        <w:t xml:space="preserve"> writ</w:t>
      </w:r>
      <w:r w:rsidR="00517B2E" w:rsidRPr="00B07393">
        <w:rPr>
          <w:sz w:val="24"/>
          <w:szCs w:val="24"/>
        </w:rPr>
        <w:t>e</w:t>
      </w:r>
      <w:r w:rsidR="00516BC9" w:rsidRPr="00B07393">
        <w:rPr>
          <w:sz w:val="24"/>
          <w:szCs w:val="24"/>
        </w:rPr>
        <w:t xml:space="preserve"> out to companies on 28</w:t>
      </w:r>
      <w:r w:rsidR="00516BC9" w:rsidRPr="00B07393">
        <w:rPr>
          <w:sz w:val="24"/>
          <w:szCs w:val="24"/>
          <w:vertAlign w:val="superscript"/>
        </w:rPr>
        <w:t>th</w:t>
      </w:r>
      <w:r w:rsidR="00516BC9" w:rsidRPr="00B07393">
        <w:rPr>
          <w:sz w:val="24"/>
          <w:szCs w:val="24"/>
        </w:rPr>
        <w:t xml:space="preserve"> March</w:t>
      </w:r>
      <w:r w:rsidR="007F54F3" w:rsidRPr="00B07393">
        <w:rPr>
          <w:sz w:val="24"/>
          <w:szCs w:val="24"/>
        </w:rPr>
        <w:t xml:space="preserve"> with a deadline for returns of 2</w:t>
      </w:r>
      <w:r w:rsidR="001E3E0E" w:rsidRPr="00B07393">
        <w:rPr>
          <w:sz w:val="24"/>
          <w:szCs w:val="24"/>
        </w:rPr>
        <w:t>5</w:t>
      </w:r>
      <w:r w:rsidR="007F54F3" w:rsidRPr="00B07393">
        <w:rPr>
          <w:sz w:val="24"/>
          <w:szCs w:val="24"/>
          <w:vertAlign w:val="superscript"/>
        </w:rPr>
        <w:t>th</w:t>
      </w:r>
      <w:r w:rsidR="007F54F3" w:rsidRPr="00B07393">
        <w:rPr>
          <w:sz w:val="24"/>
          <w:szCs w:val="24"/>
        </w:rPr>
        <w:t xml:space="preserve"> April. The timetable is flexible</w:t>
      </w:r>
      <w:r w:rsidR="005253B2" w:rsidRPr="00B07393">
        <w:rPr>
          <w:sz w:val="24"/>
          <w:szCs w:val="24"/>
        </w:rPr>
        <w:t xml:space="preserve"> </w:t>
      </w:r>
      <w:r w:rsidR="00D57A8F" w:rsidRPr="00B07393">
        <w:rPr>
          <w:sz w:val="24"/>
          <w:szCs w:val="24"/>
        </w:rPr>
        <w:t>to allow time to chase</w:t>
      </w:r>
      <w:r w:rsidR="00D40E28" w:rsidRPr="00B07393">
        <w:rPr>
          <w:sz w:val="24"/>
          <w:szCs w:val="24"/>
        </w:rPr>
        <w:t xml:space="preserve"> late returns</w:t>
      </w:r>
      <w:r w:rsidR="00D57A8F" w:rsidRPr="00B07393">
        <w:rPr>
          <w:sz w:val="24"/>
          <w:szCs w:val="24"/>
        </w:rPr>
        <w:t xml:space="preserve"> and </w:t>
      </w:r>
      <w:r w:rsidR="00B2723C" w:rsidRPr="00B07393">
        <w:rPr>
          <w:sz w:val="24"/>
          <w:szCs w:val="24"/>
        </w:rPr>
        <w:t xml:space="preserve">follow-up </w:t>
      </w:r>
      <w:r w:rsidR="00D40E28" w:rsidRPr="00B07393">
        <w:rPr>
          <w:sz w:val="24"/>
          <w:szCs w:val="24"/>
        </w:rPr>
        <w:t xml:space="preserve">with companies </w:t>
      </w:r>
      <w:r w:rsidR="00B2723C" w:rsidRPr="00B07393">
        <w:rPr>
          <w:sz w:val="24"/>
          <w:szCs w:val="24"/>
        </w:rPr>
        <w:t>on any discrepancies</w:t>
      </w:r>
      <w:r w:rsidR="003E66AE" w:rsidRPr="00B07393">
        <w:rPr>
          <w:sz w:val="24"/>
          <w:szCs w:val="24"/>
        </w:rPr>
        <w:t xml:space="preserve">. </w:t>
      </w:r>
      <w:r w:rsidR="00D40E28" w:rsidRPr="00B07393">
        <w:rPr>
          <w:sz w:val="24"/>
          <w:szCs w:val="24"/>
        </w:rPr>
        <w:t>The plan is to publish</w:t>
      </w:r>
      <w:r w:rsidR="00390A12" w:rsidRPr="00B07393">
        <w:rPr>
          <w:sz w:val="24"/>
          <w:szCs w:val="24"/>
        </w:rPr>
        <w:t xml:space="preserve"> during the Summer</w:t>
      </w:r>
      <w:r w:rsidR="00C1484C" w:rsidRPr="00B07393">
        <w:rPr>
          <w:sz w:val="24"/>
          <w:szCs w:val="24"/>
        </w:rPr>
        <w:t>.</w:t>
      </w:r>
    </w:p>
    <w:p w14:paraId="32D9892B" w14:textId="7DD5C732" w:rsidR="003071FB" w:rsidRDefault="002D4FE9" w:rsidP="00315376">
      <w:pPr>
        <w:rPr>
          <w:b/>
          <w:bCs/>
          <w:sz w:val="24"/>
          <w:szCs w:val="24"/>
          <w:u w:val="single"/>
        </w:rPr>
      </w:pPr>
      <w:r>
        <w:rPr>
          <w:b/>
          <w:bCs/>
          <w:sz w:val="24"/>
          <w:szCs w:val="24"/>
          <w:u w:val="single"/>
        </w:rPr>
        <w:t>Scope for 2024 process</w:t>
      </w:r>
    </w:p>
    <w:p w14:paraId="1047C9E4" w14:textId="4E887116" w:rsidR="004370CA" w:rsidRDefault="007D5CDD" w:rsidP="00315376">
      <w:pPr>
        <w:rPr>
          <w:sz w:val="24"/>
          <w:szCs w:val="24"/>
        </w:rPr>
      </w:pPr>
      <w:r w:rsidRPr="007D5CDD">
        <w:rPr>
          <w:sz w:val="24"/>
          <w:szCs w:val="24"/>
        </w:rPr>
        <w:t>The</w:t>
      </w:r>
      <w:r>
        <w:rPr>
          <w:sz w:val="24"/>
          <w:szCs w:val="24"/>
        </w:rPr>
        <w:t xml:space="preserve"> subgroup </w:t>
      </w:r>
      <w:r w:rsidR="00D6457C">
        <w:rPr>
          <w:sz w:val="24"/>
          <w:szCs w:val="24"/>
        </w:rPr>
        <w:t>discussed and c</w:t>
      </w:r>
      <w:r>
        <w:rPr>
          <w:sz w:val="24"/>
          <w:szCs w:val="24"/>
        </w:rPr>
        <w:t>onsider</w:t>
      </w:r>
      <w:r w:rsidR="00D6457C">
        <w:rPr>
          <w:sz w:val="24"/>
          <w:szCs w:val="24"/>
        </w:rPr>
        <w:t>ed</w:t>
      </w:r>
      <w:r>
        <w:rPr>
          <w:sz w:val="24"/>
          <w:szCs w:val="24"/>
        </w:rPr>
        <w:t xml:space="preserve"> additions to the scope</w:t>
      </w:r>
      <w:r w:rsidR="00495524">
        <w:rPr>
          <w:sz w:val="24"/>
          <w:szCs w:val="24"/>
        </w:rPr>
        <w:t xml:space="preserve"> of the 2024 process</w:t>
      </w:r>
      <w:r w:rsidR="00A2701B">
        <w:rPr>
          <w:sz w:val="24"/>
          <w:szCs w:val="24"/>
        </w:rPr>
        <w:t>.</w:t>
      </w:r>
    </w:p>
    <w:p w14:paraId="620615E9" w14:textId="1ADFB156" w:rsidR="00495524" w:rsidRDefault="00495524" w:rsidP="00315376">
      <w:pPr>
        <w:rPr>
          <w:b/>
          <w:bCs/>
          <w:sz w:val="24"/>
          <w:szCs w:val="24"/>
          <w:u w:val="single"/>
        </w:rPr>
      </w:pPr>
      <w:r w:rsidRPr="00D6457C">
        <w:rPr>
          <w:b/>
          <w:bCs/>
          <w:sz w:val="24"/>
          <w:szCs w:val="24"/>
          <w:u w:val="single"/>
        </w:rPr>
        <w:t>Social and Environmenta</w:t>
      </w:r>
      <w:r w:rsidR="00D6457C" w:rsidRPr="00D6457C">
        <w:rPr>
          <w:b/>
          <w:bCs/>
          <w:sz w:val="24"/>
          <w:szCs w:val="24"/>
          <w:u w:val="single"/>
        </w:rPr>
        <w:t>l payments</w:t>
      </w:r>
    </w:p>
    <w:p w14:paraId="0360FE46" w14:textId="77777777" w:rsidR="00B07393" w:rsidRPr="00B07393" w:rsidRDefault="00B07393" w:rsidP="00B07393">
      <w:pPr>
        <w:rPr>
          <w:sz w:val="24"/>
          <w:szCs w:val="24"/>
        </w:rPr>
      </w:pPr>
      <w:bookmarkStart w:id="0" w:name="_Hlk182751971"/>
      <w:r w:rsidRPr="00B07393">
        <w:rPr>
          <w:sz w:val="24"/>
          <w:szCs w:val="24"/>
        </w:rPr>
        <w:t xml:space="preserve">The objective of </w:t>
      </w:r>
      <w:hyperlink r:id="rId7" w:history="1">
        <w:r w:rsidRPr="00B07393">
          <w:rPr>
            <w:rStyle w:val="Hyperlink"/>
            <w:color w:val="auto"/>
            <w:sz w:val="24"/>
            <w:szCs w:val="24"/>
            <w:u w:val="none"/>
          </w:rPr>
          <w:t>EITI Requirement 6.1</w:t>
        </w:r>
      </w:hyperlink>
      <w:r w:rsidRPr="00B07393">
        <w:rPr>
          <w:sz w:val="24"/>
          <w:szCs w:val="24"/>
        </w:rPr>
        <w:t xml:space="preserve"> Social expenditures and environmental payments is to enable public understanding of extractive companies’ social and environmental contributions, and to provide a basis for assessing extractive companies’ compliance with their legal and contractual obligations to undertake social and environmental expenditures.</w:t>
      </w:r>
    </w:p>
    <w:bookmarkEnd w:id="0"/>
    <w:p w14:paraId="3B077329" w14:textId="77777777" w:rsidR="00B07393" w:rsidRPr="00B07393" w:rsidRDefault="00B07393" w:rsidP="00B07393">
      <w:pPr>
        <w:rPr>
          <w:b/>
          <w:bCs/>
          <w:sz w:val="24"/>
          <w:szCs w:val="24"/>
          <w:u w:val="single"/>
        </w:rPr>
      </w:pPr>
      <w:r w:rsidRPr="00B07393">
        <w:rPr>
          <w:b/>
          <w:bCs/>
          <w:sz w:val="24"/>
          <w:szCs w:val="24"/>
          <w:u w:val="single"/>
        </w:rPr>
        <w:t>Point a</w:t>
      </w:r>
    </w:p>
    <w:p w14:paraId="27D9BA6C" w14:textId="77777777" w:rsidR="00B07393" w:rsidRPr="00965825" w:rsidRDefault="00B07393" w:rsidP="00965825">
      <w:pPr>
        <w:pStyle w:val="ListParagraph"/>
        <w:numPr>
          <w:ilvl w:val="0"/>
          <w:numId w:val="15"/>
        </w:numPr>
        <w:rPr>
          <w:sz w:val="24"/>
          <w:szCs w:val="24"/>
        </w:rPr>
      </w:pPr>
      <w:r w:rsidRPr="00965825">
        <w:rPr>
          <w:sz w:val="24"/>
          <w:szCs w:val="24"/>
        </w:rPr>
        <w:t>Where material social expenditures by companies are mandated by law or the contract with the government that governs the extractive investment, implementing countries (ICs) are required to disclose these transactions.</w:t>
      </w:r>
    </w:p>
    <w:p w14:paraId="66D1827F" w14:textId="77777777" w:rsidR="00B07393" w:rsidRPr="00965825" w:rsidRDefault="00B07393" w:rsidP="00965825">
      <w:pPr>
        <w:pStyle w:val="ListParagraph"/>
        <w:numPr>
          <w:ilvl w:val="0"/>
          <w:numId w:val="15"/>
        </w:numPr>
        <w:rPr>
          <w:sz w:val="24"/>
          <w:szCs w:val="24"/>
        </w:rPr>
      </w:pPr>
      <w:r w:rsidRPr="00965825">
        <w:rPr>
          <w:sz w:val="24"/>
          <w:szCs w:val="24"/>
        </w:rPr>
        <w:t>Where such benefits are provided in kind, ICs must disclose the nature and the deemed value of the in-kind transaction.</w:t>
      </w:r>
    </w:p>
    <w:p w14:paraId="0E8823FF" w14:textId="77777777" w:rsidR="00B07393" w:rsidRPr="00965825" w:rsidRDefault="00B07393" w:rsidP="00965825">
      <w:pPr>
        <w:pStyle w:val="ListParagraph"/>
        <w:numPr>
          <w:ilvl w:val="0"/>
          <w:numId w:val="15"/>
        </w:numPr>
        <w:rPr>
          <w:sz w:val="24"/>
          <w:szCs w:val="24"/>
        </w:rPr>
      </w:pPr>
      <w:r w:rsidRPr="00965825">
        <w:rPr>
          <w:sz w:val="24"/>
          <w:szCs w:val="24"/>
        </w:rPr>
        <w:t>Where the beneficiary of the mandated social expenditure is a third party (i.e. not a government agency), it is required that the name and function of the beneficiary be disclosed.</w:t>
      </w:r>
    </w:p>
    <w:p w14:paraId="17D9A9A8" w14:textId="77777777" w:rsidR="00B07393" w:rsidRPr="00965825" w:rsidRDefault="00B07393" w:rsidP="00965825">
      <w:pPr>
        <w:pStyle w:val="ListParagraph"/>
        <w:numPr>
          <w:ilvl w:val="0"/>
          <w:numId w:val="15"/>
        </w:numPr>
        <w:rPr>
          <w:sz w:val="24"/>
          <w:szCs w:val="24"/>
        </w:rPr>
      </w:pPr>
      <w:r w:rsidRPr="00965825">
        <w:rPr>
          <w:sz w:val="24"/>
          <w:szCs w:val="24"/>
        </w:rPr>
        <w:t>ICs are required to disclose gender disaggregated data on the beneficiaries, where available.</w:t>
      </w:r>
    </w:p>
    <w:p w14:paraId="144E5878" w14:textId="77777777" w:rsidR="00B07393" w:rsidRPr="00965825" w:rsidRDefault="00B07393" w:rsidP="00965825">
      <w:pPr>
        <w:pStyle w:val="ListParagraph"/>
        <w:numPr>
          <w:ilvl w:val="0"/>
          <w:numId w:val="15"/>
        </w:numPr>
        <w:rPr>
          <w:sz w:val="24"/>
          <w:szCs w:val="24"/>
        </w:rPr>
      </w:pPr>
      <w:r w:rsidRPr="00965825">
        <w:rPr>
          <w:sz w:val="24"/>
          <w:szCs w:val="24"/>
        </w:rPr>
        <w:t>Where reconciliation is not feasible, ICs must provide unilateral company and/or government disclosures of these transactions.</w:t>
      </w:r>
    </w:p>
    <w:p w14:paraId="1CA49D2E" w14:textId="77777777" w:rsidR="00B07393" w:rsidRPr="00965825" w:rsidRDefault="00B07393" w:rsidP="00965825">
      <w:pPr>
        <w:pStyle w:val="ListParagraph"/>
        <w:numPr>
          <w:ilvl w:val="0"/>
          <w:numId w:val="15"/>
        </w:numPr>
        <w:rPr>
          <w:sz w:val="24"/>
          <w:szCs w:val="24"/>
        </w:rPr>
      </w:pPr>
      <w:r w:rsidRPr="00965825">
        <w:rPr>
          <w:sz w:val="24"/>
          <w:szCs w:val="24"/>
        </w:rPr>
        <w:t>ICs are expected to disclose the contracts, and any other documents required by law, that describe the level and allocation of material mandatory social expenditures.</w:t>
      </w:r>
    </w:p>
    <w:p w14:paraId="722EC047" w14:textId="77777777" w:rsidR="00B07393" w:rsidRPr="00B07393" w:rsidRDefault="00B07393" w:rsidP="00B07393">
      <w:pPr>
        <w:rPr>
          <w:b/>
          <w:bCs/>
          <w:sz w:val="24"/>
          <w:szCs w:val="24"/>
          <w:u w:val="single"/>
        </w:rPr>
      </w:pPr>
      <w:r w:rsidRPr="00B07393">
        <w:rPr>
          <w:b/>
          <w:bCs/>
          <w:sz w:val="24"/>
          <w:szCs w:val="24"/>
          <w:u w:val="single"/>
        </w:rPr>
        <w:lastRenderedPageBreak/>
        <w:t>Point b</w:t>
      </w:r>
    </w:p>
    <w:p w14:paraId="06936A71" w14:textId="77777777" w:rsidR="00B07393" w:rsidRPr="00965825" w:rsidRDefault="00B07393" w:rsidP="00965825">
      <w:pPr>
        <w:pStyle w:val="ListParagraph"/>
        <w:numPr>
          <w:ilvl w:val="0"/>
          <w:numId w:val="16"/>
        </w:numPr>
        <w:rPr>
          <w:sz w:val="24"/>
          <w:szCs w:val="24"/>
        </w:rPr>
      </w:pPr>
      <w:r w:rsidRPr="00965825">
        <w:rPr>
          <w:sz w:val="24"/>
          <w:szCs w:val="24"/>
        </w:rPr>
        <w:t>Where material payments by companies to the government related to the environment are mandated by law, regulation or contract that governs the extractive investment, ICs are required to disclose such payments.</w:t>
      </w:r>
    </w:p>
    <w:p w14:paraId="60673443" w14:textId="77777777" w:rsidR="00B07393" w:rsidRDefault="00B07393" w:rsidP="00965825">
      <w:pPr>
        <w:pStyle w:val="ListParagraph"/>
        <w:numPr>
          <w:ilvl w:val="0"/>
          <w:numId w:val="16"/>
        </w:numPr>
        <w:rPr>
          <w:sz w:val="24"/>
          <w:szCs w:val="24"/>
        </w:rPr>
      </w:pPr>
      <w:r w:rsidRPr="00965825">
        <w:rPr>
          <w:sz w:val="24"/>
          <w:szCs w:val="24"/>
        </w:rPr>
        <w:t>Where environmental payments are mandated by contracts, ICs are expected to disclose these contracts.</w:t>
      </w:r>
    </w:p>
    <w:p w14:paraId="6BCBB485" w14:textId="41310C25" w:rsidR="00965825" w:rsidRPr="00965825" w:rsidRDefault="00965825" w:rsidP="00965825">
      <w:pPr>
        <w:rPr>
          <w:sz w:val="24"/>
          <w:szCs w:val="24"/>
        </w:rPr>
      </w:pPr>
      <w:r>
        <w:rPr>
          <w:sz w:val="24"/>
          <w:szCs w:val="24"/>
        </w:rPr>
        <w:t xml:space="preserve">The subgroup agreed that </w:t>
      </w:r>
      <w:r w:rsidR="00237929">
        <w:rPr>
          <w:sz w:val="24"/>
          <w:szCs w:val="24"/>
        </w:rPr>
        <w:t>these payments should be requested to ensure compliance with the Standard</w:t>
      </w:r>
      <w:r w:rsidR="008D7326">
        <w:rPr>
          <w:sz w:val="24"/>
          <w:szCs w:val="24"/>
        </w:rPr>
        <w:t>.</w:t>
      </w:r>
    </w:p>
    <w:p w14:paraId="4255BB4B" w14:textId="253DE16F" w:rsidR="00E9151A" w:rsidRPr="003075CD" w:rsidRDefault="002E357E" w:rsidP="00315376">
      <w:pPr>
        <w:rPr>
          <w:i/>
          <w:iCs/>
          <w:color w:val="FF0000"/>
          <w:sz w:val="24"/>
          <w:szCs w:val="24"/>
        </w:rPr>
      </w:pPr>
      <w:r w:rsidRPr="003075CD">
        <w:rPr>
          <w:i/>
          <w:iCs/>
          <w:color w:val="FF0000"/>
          <w:sz w:val="24"/>
          <w:szCs w:val="24"/>
        </w:rPr>
        <w:t xml:space="preserve">(Action: It was agreed that </w:t>
      </w:r>
      <w:r w:rsidR="008045E7" w:rsidRPr="003075CD">
        <w:rPr>
          <w:i/>
          <w:iCs/>
          <w:color w:val="FF0000"/>
          <w:sz w:val="24"/>
          <w:szCs w:val="24"/>
        </w:rPr>
        <w:t xml:space="preserve">the templates and guidance should be updated </w:t>
      </w:r>
      <w:r w:rsidR="001C2C6A" w:rsidRPr="003075CD">
        <w:rPr>
          <w:i/>
          <w:iCs/>
          <w:color w:val="FF0000"/>
          <w:sz w:val="24"/>
          <w:szCs w:val="24"/>
        </w:rPr>
        <w:t>to request any other material</w:t>
      </w:r>
      <w:r w:rsidR="00D6280B">
        <w:rPr>
          <w:i/>
          <w:iCs/>
          <w:color w:val="FF0000"/>
          <w:sz w:val="24"/>
          <w:szCs w:val="24"/>
        </w:rPr>
        <w:t xml:space="preserve"> social or environmental</w:t>
      </w:r>
      <w:r w:rsidR="001C2C6A" w:rsidRPr="003075CD">
        <w:rPr>
          <w:i/>
          <w:iCs/>
          <w:color w:val="FF0000"/>
          <w:sz w:val="24"/>
          <w:szCs w:val="24"/>
        </w:rPr>
        <w:t xml:space="preserve"> payments as well as S.106 (or equivalent</w:t>
      </w:r>
      <w:r w:rsidR="003075CD" w:rsidRPr="003075CD">
        <w:rPr>
          <w:i/>
          <w:iCs/>
          <w:color w:val="FF0000"/>
          <w:sz w:val="24"/>
          <w:szCs w:val="24"/>
        </w:rPr>
        <w:t xml:space="preserve">) </w:t>
      </w:r>
      <w:r w:rsidR="001C2C6A" w:rsidRPr="003075CD">
        <w:rPr>
          <w:i/>
          <w:iCs/>
          <w:color w:val="FF0000"/>
          <w:sz w:val="24"/>
          <w:szCs w:val="24"/>
        </w:rPr>
        <w:t>pay</w:t>
      </w:r>
      <w:r w:rsidR="003075CD" w:rsidRPr="003075CD">
        <w:rPr>
          <w:i/>
          <w:iCs/>
          <w:color w:val="FF0000"/>
          <w:sz w:val="24"/>
          <w:szCs w:val="24"/>
        </w:rPr>
        <w:t>ments).</w:t>
      </w:r>
    </w:p>
    <w:p w14:paraId="6CE6BCA9" w14:textId="100790D4" w:rsidR="00E9151A" w:rsidRPr="00D6457C" w:rsidRDefault="00E9151A" w:rsidP="00315376">
      <w:pPr>
        <w:rPr>
          <w:b/>
          <w:bCs/>
          <w:sz w:val="24"/>
          <w:szCs w:val="24"/>
          <w:u w:val="single"/>
        </w:rPr>
      </w:pPr>
      <w:r>
        <w:rPr>
          <w:b/>
          <w:bCs/>
          <w:sz w:val="24"/>
          <w:szCs w:val="24"/>
          <w:u w:val="single"/>
        </w:rPr>
        <w:t>Fines &amp; Penalties</w:t>
      </w:r>
    </w:p>
    <w:p w14:paraId="5F333BC4" w14:textId="18D6FC53" w:rsidR="00D94D36" w:rsidRDefault="00D94D36" w:rsidP="00315376">
      <w:pPr>
        <w:rPr>
          <w:sz w:val="24"/>
          <w:szCs w:val="24"/>
        </w:rPr>
      </w:pPr>
      <w:r w:rsidRPr="00D94D36">
        <w:rPr>
          <w:sz w:val="24"/>
          <w:szCs w:val="24"/>
        </w:rPr>
        <w:t xml:space="preserve">The objective of EITI Requirement 4.1 Comprehensive disclosure of taxes and revenues is to ensure comprehensive disclosures of company payments and/or government revenues from oil, gas and mining as the basis for detailed public understanding of the contribution of the extractive industries to government revenues. </w:t>
      </w:r>
    </w:p>
    <w:p w14:paraId="5E8A0B7B" w14:textId="77777777" w:rsidR="002E5305" w:rsidRPr="002E5305" w:rsidRDefault="002E5305" w:rsidP="00315376">
      <w:pPr>
        <w:rPr>
          <w:b/>
          <w:bCs/>
          <w:sz w:val="24"/>
          <w:szCs w:val="24"/>
          <w:u w:val="single"/>
        </w:rPr>
      </w:pPr>
      <w:r w:rsidRPr="002E5305">
        <w:rPr>
          <w:b/>
          <w:bCs/>
          <w:sz w:val="24"/>
          <w:szCs w:val="24"/>
          <w:u w:val="single"/>
        </w:rPr>
        <w:t xml:space="preserve">Point a </w:t>
      </w:r>
    </w:p>
    <w:p w14:paraId="694AEF98" w14:textId="2FFB4317" w:rsidR="002E5305" w:rsidRPr="008D7326" w:rsidRDefault="002E5305" w:rsidP="008D7326">
      <w:pPr>
        <w:pStyle w:val="ListParagraph"/>
        <w:numPr>
          <w:ilvl w:val="0"/>
          <w:numId w:val="17"/>
        </w:numPr>
        <w:rPr>
          <w:sz w:val="24"/>
          <w:szCs w:val="24"/>
        </w:rPr>
      </w:pPr>
      <w:r w:rsidRPr="008D7326">
        <w:rPr>
          <w:sz w:val="24"/>
          <w:szCs w:val="24"/>
        </w:rPr>
        <w:t>ICs are required1 to disclose all material payments by oil, gas and mining companies to governments (</w:t>
      </w:r>
      <w:r w:rsidRPr="008D7326">
        <w:rPr>
          <w:rFonts w:ascii="Calibri" w:hAnsi="Calibri" w:cs="Calibri"/>
          <w:sz w:val="24"/>
          <w:szCs w:val="24"/>
        </w:rPr>
        <w:t>“</w:t>
      </w:r>
      <w:r w:rsidRPr="008D7326">
        <w:rPr>
          <w:sz w:val="24"/>
          <w:szCs w:val="24"/>
        </w:rPr>
        <w:t>payments</w:t>
      </w:r>
      <w:r w:rsidRPr="008D7326">
        <w:rPr>
          <w:rFonts w:ascii="Calibri" w:hAnsi="Calibri" w:cs="Calibri"/>
          <w:sz w:val="24"/>
          <w:szCs w:val="24"/>
        </w:rPr>
        <w:t>”</w:t>
      </w:r>
      <w:r w:rsidRPr="008D7326">
        <w:rPr>
          <w:sz w:val="24"/>
          <w:szCs w:val="24"/>
        </w:rPr>
        <w:t>) and/or all material revenues received by or on behalf of governments from oil, gas and mining companies (</w:t>
      </w:r>
      <w:r w:rsidRPr="008D7326">
        <w:rPr>
          <w:rFonts w:ascii="Calibri" w:hAnsi="Calibri" w:cs="Calibri"/>
          <w:sz w:val="24"/>
          <w:szCs w:val="24"/>
        </w:rPr>
        <w:t>“</w:t>
      </w:r>
      <w:r w:rsidRPr="008D7326">
        <w:rPr>
          <w:sz w:val="24"/>
          <w:szCs w:val="24"/>
        </w:rPr>
        <w:t>revenues</w:t>
      </w:r>
      <w:r w:rsidRPr="008D7326">
        <w:rPr>
          <w:rFonts w:ascii="Calibri" w:hAnsi="Calibri" w:cs="Calibri"/>
          <w:sz w:val="24"/>
          <w:szCs w:val="24"/>
        </w:rPr>
        <w:t>”</w:t>
      </w:r>
      <w:r w:rsidRPr="008D7326">
        <w:rPr>
          <w:sz w:val="24"/>
          <w:szCs w:val="24"/>
        </w:rPr>
        <w:t>) to a wide audience in a publicly accessible, comprehensive and comprehensible manner.</w:t>
      </w:r>
    </w:p>
    <w:p w14:paraId="70EFDB4B" w14:textId="77777777" w:rsidR="002E5305" w:rsidRPr="008D7326" w:rsidRDefault="002E5305" w:rsidP="008D7326">
      <w:pPr>
        <w:pStyle w:val="ListParagraph"/>
        <w:numPr>
          <w:ilvl w:val="0"/>
          <w:numId w:val="17"/>
        </w:numPr>
        <w:rPr>
          <w:sz w:val="24"/>
          <w:szCs w:val="24"/>
        </w:rPr>
      </w:pPr>
      <w:r w:rsidRPr="008D7326">
        <w:rPr>
          <w:sz w:val="24"/>
          <w:szCs w:val="24"/>
        </w:rPr>
        <w:t xml:space="preserve">ICs and/or companies are expected2 to routinely disclose the requisite information through government and corporate reporting (e.g. websites, annual reports), and to collate this information and address any concerns about gaps and data quality in EITI Reports. </w:t>
      </w:r>
    </w:p>
    <w:p w14:paraId="2D813D0D" w14:textId="77777777" w:rsidR="002E5305" w:rsidRPr="002E5305" w:rsidRDefault="002E5305" w:rsidP="00315376">
      <w:pPr>
        <w:rPr>
          <w:b/>
          <w:bCs/>
          <w:sz w:val="24"/>
          <w:szCs w:val="24"/>
          <w:u w:val="single"/>
        </w:rPr>
      </w:pPr>
      <w:r w:rsidRPr="002E5305">
        <w:rPr>
          <w:b/>
          <w:bCs/>
          <w:sz w:val="24"/>
          <w:szCs w:val="24"/>
          <w:u w:val="single"/>
        </w:rPr>
        <w:t xml:space="preserve">Point b </w:t>
      </w:r>
    </w:p>
    <w:p w14:paraId="486F10F1" w14:textId="77777777" w:rsidR="002E5305" w:rsidRPr="008D7326" w:rsidRDefault="002E5305" w:rsidP="008D7326">
      <w:pPr>
        <w:pStyle w:val="ListParagraph"/>
        <w:numPr>
          <w:ilvl w:val="0"/>
          <w:numId w:val="18"/>
        </w:numPr>
        <w:rPr>
          <w:sz w:val="24"/>
          <w:szCs w:val="24"/>
        </w:rPr>
      </w:pPr>
      <w:r w:rsidRPr="008D7326">
        <w:rPr>
          <w:sz w:val="24"/>
          <w:szCs w:val="24"/>
        </w:rPr>
        <w:t xml:space="preserve">Unless there are significant practical barriers, the government is required to disclose the amount of total revenues received from oil, gas and mining companies, disaggregated by revenue stream. </w:t>
      </w:r>
    </w:p>
    <w:p w14:paraId="101167CE" w14:textId="77777777" w:rsidR="002E5305" w:rsidRPr="002E5305" w:rsidRDefault="002E5305" w:rsidP="00315376">
      <w:pPr>
        <w:rPr>
          <w:b/>
          <w:bCs/>
          <w:sz w:val="24"/>
          <w:szCs w:val="24"/>
          <w:u w:val="single"/>
        </w:rPr>
      </w:pPr>
      <w:r w:rsidRPr="002E5305">
        <w:rPr>
          <w:b/>
          <w:bCs/>
          <w:sz w:val="24"/>
          <w:szCs w:val="24"/>
          <w:u w:val="single"/>
        </w:rPr>
        <w:t>Point c</w:t>
      </w:r>
    </w:p>
    <w:p w14:paraId="7C6495A0" w14:textId="77777777" w:rsidR="002E5305" w:rsidRPr="008D7326" w:rsidRDefault="002E5305" w:rsidP="008D7326">
      <w:pPr>
        <w:pStyle w:val="ListParagraph"/>
        <w:numPr>
          <w:ilvl w:val="0"/>
          <w:numId w:val="18"/>
        </w:numPr>
        <w:rPr>
          <w:sz w:val="24"/>
          <w:szCs w:val="24"/>
        </w:rPr>
      </w:pPr>
      <w:r w:rsidRPr="008D7326">
        <w:rPr>
          <w:sz w:val="24"/>
          <w:szCs w:val="24"/>
        </w:rPr>
        <w:t xml:space="preserve">The MSG is required to agree which payments and revenues are material and must therefore be disaggregated in accordance with Requirement 4.7. The MSG must agree appropriate materiality definitions and thresholds for revenue streams and reporting entities. Payments and revenues are considered material if their omission or misstatement could significantly affect the comprehensiveness of the disclosures. </w:t>
      </w:r>
      <w:r w:rsidRPr="008D7326">
        <w:rPr>
          <w:sz w:val="24"/>
          <w:szCs w:val="24"/>
        </w:rPr>
        <w:lastRenderedPageBreak/>
        <w:t>All revenue streams and one-off payments by oil, gas and mining companies must be included in the materiality consideration.</w:t>
      </w:r>
    </w:p>
    <w:p w14:paraId="4B3E3350" w14:textId="77777777" w:rsidR="002E5305" w:rsidRPr="008D7326" w:rsidRDefault="002E5305" w:rsidP="008D7326">
      <w:pPr>
        <w:pStyle w:val="ListParagraph"/>
        <w:numPr>
          <w:ilvl w:val="0"/>
          <w:numId w:val="18"/>
        </w:numPr>
        <w:rPr>
          <w:sz w:val="24"/>
          <w:szCs w:val="24"/>
        </w:rPr>
      </w:pPr>
      <w:r w:rsidRPr="008D7326">
        <w:rPr>
          <w:sz w:val="24"/>
          <w:szCs w:val="24"/>
        </w:rPr>
        <w:t xml:space="preserve">The MSG must document the options considered and the rationale for establishing the definitions and thresholds. </w:t>
      </w:r>
    </w:p>
    <w:p w14:paraId="2F6AB91C" w14:textId="77777777" w:rsidR="002E5305" w:rsidRPr="002E5305" w:rsidRDefault="002E5305" w:rsidP="00315376">
      <w:pPr>
        <w:rPr>
          <w:b/>
          <w:bCs/>
          <w:sz w:val="24"/>
          <w:szCs w:val="24"/>
          <w:u w:val="single"/>
        </w:rPr>
      </w:pPr>
      <w:r w:rsidRPr="002E5305">
        <w:rPr>
          <w:b/>
          <w:bCs/>
          <w:sz w:val="24"/>
          <w:szCs w:val="24"/>
          <w:u w:val="single"/>
        </w:rPr>
        <w:t>Point d</w:t>
      </w:r>
    </w:p>
    <w:p w14:paraId="2B62EEB0" w14:textId="0D6BB2D1" w:rsidR="002E5305" w:rsidRPr="008D7326" w:rsidRDefault="002E5305" w:rsidP="008D7326">
      <w:pPr>
        <w:pStyle w:val="ListParagraph"/>
        <w:numPr>
          <w:ilvl w:val="0"/>
          <w:numId w:val="19"/>
        </w:numPr>
        <w:rPr>
          <w:sz w:val="24"/>
          <w:szCs w:val="24"/>
        </w:rPr>
      </w:pPr>
      <w:r w:rsidRPr="008D7326">
        <w:rPr>
          <w:sz w:val="24"/>
          <w:szCs w:val="24"/>
        </w:rPr>
        <w:t xml:space="preserve">ICs are required to ensure that all government entities receiving material revenues from oil, gas and mining companies comprehensively disclose these revenues in accordance with the agreed scope. </w:t>
      </w:r>
    </w:p>
    <w:p w14:paraId="5AC43BB1" w14:textId="77777777" w:rsidR="002E5305" w:rsidRPr="008D7326" w:rsidRDefault="002E5305" w:rsidP="008D7326">
      <w:pPr>
        <w:pStyle w:val="ListParagraph"/>
        <w:numPr>
          <w:ilvl w:val="0"/>
          <w:numId w:val="19"/>
        </w:numPr>
        <w:rPr>
          <w:sz w:val="24"/>
          <w:szCs w:val="24"/>
        </w:rPr>
      </w:pPr>
      <w:r w:rsidRPr="008D7326">
        <w:rPr>
          <w:sz w:val="24"/>
          <w:szCs w:val="24"/>
        </w:rPr>
        <w:t>All oil, gas and mining companies making material payments to the government are required to comprehensively disclose material payments in accordance with the agreed scope.</w:t>
      </w:r>
    </w:p>
    <w:p w14:paraId="4AFCA3FA" w14:textId="0AB69EE5" w:rsidR="00F02FE1" w:rsidRPr="008D7326" w:rsidRDefault="002E5305" w:rsidP="008D7326">
      <w:pPr>
        <w:pStyle w:val="ListParagraph"/>
        <w:numPr>
          <w:ilvl w:val="0"/>
          <w:numId w:val="19"/>
        </w:numPr>
        <w:rPr>
          <w:sz w:val="24"/>
          <w:szCs w:val="24"/>
        </w:rPr>
      </w:pPr>
      <w:r w:rsidRPr="008D7326">
        <w:rPr>
          <w:sz w:val="24"/>
          <w:szCs w:val="24"/>
        </w:rPr>
        <w:t>A company or a government entity should only be exempted from disclosing material payments or revenues if the MSG has agreed to unilateral disclosure by the government or companies in accordance with Requirement 4.9.</w:t>
      </w:r>
    </w:p>
    <w:p w14:paraId="0D14C6D7" w14:textId="77777777" w:rsidR="00FD1D48" w:rsidRPr="00FD1D48" w:rsidRDefault="00FD1D48" w:rsidP="00315376">
      <w:pPr>
        <w:rPr>
          <w:b/>
          <w:bCs/>
          <w:sz w:val="24"/>
          <w:szCs w:val="24"/>
          <w:u w:val="single"/>
        </w:rPr>
      </w:pPr>
      <w:r w:rsidRPr="00FD1D48">
        <w:rPr>
          <w:b/>
          <w:bCs/>
          <w:sz w:val="24"/>
          <w:szCs w:val="24"/>
          <w:u w:val="single"/>
        </w:rPr>
        <w:t>Point e</w:t>
      </w:r>
    </w:p>
    <w:p w14:paraId="6C72D819" w14:textId="77777777" w:rsidR="000469B8" w:rsidRPr="008D7326" w:rsidRDefault="00FD1D48" w:rsidP="008D7326">
      <w:pPr>
        <w:pStyle w:val="ListParagraph"/>
        <w:numPr>
          <w:ilvl w:val="0"/>
          <w:numId w:val="20"/>
        </w:numPr>
        <w:rPr>
          <w:sz w:val="24"/>
          <w:szCs w:val="24"/>
        </w:rPr>
      </w:pPr>
      <w:r w:rsidRPr="008D7326">
        <w:rPr>
          <w:sz w:val="24"/>
          <w:szCs w:val="24"/>
        </w:rPr>
        <w:t xml:space="preserve">Companies are expected to publicly disclose their audited FS, or the main items (i.e. balance sheet, profit/loss statement, cash flows and effective tax rates) where financial statements are not available at country level. </w:t>
      </w:r>
    </w:p>
    <w:p w14:paraId="43BEFBA1" w14:textId="7F623025" w:rsidR="00FD1D48" w:rsidRPr="008D7326" w:rsidRDefault="00FD1D48" w:rsidP="008D7326">
      <w:pPr>
        <w:pStyle w:val="ListParagraph"/>
        <w:numPr>
          <w:ilvl w:val="0"/>
          <w:numId w:val="20"/>
        </w:numPr>
        <w:rPr>
          <w:sz w:val="24"/>
          <w:szCs w:val="24"/>
        </w:rPr>
      </w:pPr>
      <w:r w:rsidRPr="008D7326">
        <w:rPr>
          <w:sz w:val="24"/>
          <w:szCs w:val="24"/>
        </w:rPr>
        <w:t>Companies are encouraged to disclose tax deductions and incentives in the period under review.</w:t>
      </w:r>
    </w:p>
    <w:p w14:paraId="02A91B61" w14:textId="7B094E78" w:rsidR="00F32427" w:rsidRDefault="00965825" w:rsidP="008D7326">
      <w:pPr>
        <w:rPr>
          <w:sz w:val="24"/>
          <w:szCs w:val="24"/>
        </w:rPr>
      </w:pPr>
      <w:r w:rsidRPr="008D7326">
        <w:rPr>
          <w:sz w:val="24"/>
          <w:szCs w:val="24"/>
        </w:rPr>
        <w:t xml:space="preserve">The subgroup </w:t>
      </w:r>
      <w:r w:rsidR="00161C9C">
        <w:rPr>
          <w:sz w:val="24"/>
          <w:szCs w:val="24"/>
        </w:rPr>
        <w:t>considered</w:t>
      </w:r>
      <w:r w:rsidRPr="008D7326">
        <w:rPr>
          <w:sz w:val="24"/>
          <w:szCs w:val="24"/>
        </w:rPr>
        <w:t xml:space="preserve"> that fines and penalties were irrelevant to this </w:t>
      </w:r>
      <w:r w:rsidR="008D7326" w:rsidRPr="008D7326">
        <w:rPr>
          <w:sz w:val="24"/>
          <w:szCs w:val="24"/>
        </w:rPr>
        <w:t>requirement but</w:t>
      </w:r>
      <w:r w:rsidRPr="008D7326">
        <w:rPr>
          <w:sz w:val="24"/>
          <w:szCs w:val="24"/>
        </w:rPr>
        <w:t xml:space="preserve"> agreed that clarification was required from the EITI international Secretariat</w:t>
      </w:r>
      <w:r w:rsidR="008D7326">
        <w:rPr>
          <w:sz w:val="24"/>
          <w:szCs w:val="24"/>
        </w:rPr>
        <w:t xml:space="preserve"> before</w:t>
      </w:r>
      <w:r w:rsidR="00621715">
        <w:rPr>
          <w:sz w:val="24"/>
          <w:szCs w:val="24"/>
        </w:rPr>
        <w:t xml:space="preserve"> the next meeting</w:t>
      </w:r>
      <w:r w:rsidRPr="008D7326">
        <w:rPr>
          <w:sz w:val="24"/>
          <w:szCs w:val="24"/>
        </w:rPr>
        <w:t>.</w:t>
      </w:r>
    </w:p>
    <w:p w14:paraId="04518938" w14:textId="0B6110FE" w:rsidR="00621715" w:rsidRPr="00F32427" w:rsidRDefault="00621715" w:rsidP="00621715">
      <w:pPr>
        <w:rPr>
          <w:i/>
          <w:iCs/>
          <w:color w:val="FF0000"/>
          <w:sz w:val="24"/>
          <w:szCs w:val="24"/>
        </w:rPr>
      </w:pPr>
      <w:r w:rsidRPr="00F32427">
        <w:rPr>
          <w:i/>
          <w:iCs/>
          <w:color w:val="FF0000"/>
          <w:sz w:val="24"/>
          <w:szCs w:val="24"/>
        </w:rPr>
        <w:t xml:space="preserve">(Action: UK Secretariat </w:t>
      </w:r>
      <w:r>
        <w:rPr>
          <w:i/>
          <w:iCs/>
          <w:color w:val="FF0000"/>
          <w:sz w:val="24"/>
          <w:szCs w:val="24"/>
        </w:rPr>
        <w:t xml:space="preserve">to write to colleagues in the EITI international Secretariat to get clarification </w:t>
      </w:r>
      <w:r w:rsidR="00B26065">
        <w:rPr>
          <w:i/>
          <w:iCs/>
          <w:color w:val="FF0000"/>
          <w:sz w:val="24"/>
          <w:szCs w:val="24"/>
        </w:rPr>
        <w:t>on whether fines and penalties are included in this requirement</w:t>
      </w:r>
      <w:r w:rsidRPr="00F32427">
        <w:rPr>
          <w:i/>
          <w:iCs/>
          <w:color w:val="FF0000"/>
          <w:sz w:val="24"/>
          <w:szCs w:val="24"/>
        </w:rPr>
        <w:t>).</w:t>
      </w:r>
    </w:p>
    <w:p w14:paraId="257C9A77" w14:textId="4A97D793" w:rsidR="003071FB" w:rsidRDefault="00415014" w:rsidP="003071FB">
      <w:pPr>
        <w:rPr>
          <w:b/>
          <w:bCs/>
          <w:sz w:val="24"/>
          <w:szCs w:val="24"/>
          <w:u w:val="single"/>
        </w:rPr>
      </w:pPr>
      <w:bookmarkStart w:id="1" w:name="r3-4"/>
      <w:bookmarkEnd w:id="1"/>
      <w:r>
        <w:rPr>
          <w:b/>
          <w:bCs/>
          <w:sz w:val="24"/>
          <w:szCs w:val="24"/>
          <w:u w:val="single"/>
        </w:rPr>
        <w:t xml:space="preserve">Templates and Guidance </w:t>
      </w:r>
      <w:r w:rsidR="00D65AC3">
        <w:rPr>
          <w:b/>
          <w:bCs/>
          <w:sz w:val="24"/>
          <w:szCs w:val="24"/>
          <w:u w:val="single"/>
        </w:rPr>
        <w:t>for 2024 process</w:t>
      </w:r>
    </w:p>
    <w:p w14:paraId="00C3E146" w14:textId="3FDDA36E" w:rsidR="007C04CD" w:rsidRDefault="007C04CD" w:rsidP="002E5305">
      <w:pPr>
        <w:rPr>
          <w:sz w:val="24"/>
          <w:szCs w:val="24"/>
        </w:rPr>
      </w:pPr>
      <w:r w:rsidRPr="002E5305">
        <w:rPr>
          <w:sz w:val="24"/>
          <w:szCs w:val="24"/>
        </w:rPr>
        <w:t xml:space="preserve">It was agreed that the UK Secretariat and </w:t>
      </w:r>
      <w:r w:rsidR="009109CB" w:rsidRPr="002E5305">
        <w:rPr>
          <w:sz w:val="24"/>
          <w:szCs w:val="24"/>
        </w:rPr>
        <w:t>BDO</w:t>
      </w:r>
      <w:r w:rsidRPr="002E5305">
        <w:rPr>
          <w:sz w:val="24"/>
          <w:szCs w:val="24"/>
        </w:rPr>
        <w:t xml:space="preserve"> would update the guidance</w:t>
      </w:r>
      <w:r w:rsidR="009109CB" w:rsidRPr="002E5305">
        <w:rPr>
          <w:sz w:val="24"/>
          <w:szCs w:val="24"/>
        </w:rPr>
        <w:t>, templates and covering email to companies to reflect any changes in the 2024 process</w:t>
      </w:r>
      <w:r w:rsidR="00C41D31" w:rsidRPr="002E5305">
        <w:rPr>
          <w:sz w:val="24"/>
          <w:szCs w:val="24"/>
        </w:rPr>
        <w:t xml:space="preserve"> and present them at the next meeting for discussion.</w:t>
      </w:r>
    </w:p>
    <w:p w14:paraId="24C0D25D" w14:textId="5204EDDE" w:rsidR="00F32427" w:rsidRPr="00F32427" w:rsidRDefault="00F32427" w:rsidP="002E5305">
      <w:pPr>
        <w:rPr>
          <w:i/>
          <w:iCs/>
          <w:color w:val="FF0000"/>
          <w:sz w:val="24"/>
          <w:szCs w:val="24"/>
        </w:rPr>
      </w:pPr>
      <w:r w:rsidRPr="00F32427">
        <w:rPr>
          <w:i/>
          <w:iCs/>
          <w:color w:val="FF0000"/>
          <w:sz w:val="24"/>
          <w:szCs w:val="24"/>
        </w:rPr>
        <w:t>(Action: UK Secretariat and BDO to update templates</w:t>
      </w:r>
      <w:r>
        <w:rPr>
          <w:i/>
          <w:iCs/>
          <w:color w:val="FF0000"/>
          <w:sz w:val="24"/>
          <w:szCs w:val="24"/>
        </w:rPr>
        <w:t xml:space="preserve"> and guidance</w:t>
      </w:r>
      <w:r w:rsidRPr="00F32427">
        <w:rPr>
          <w:i/>
          <w:iCs/>
          <w:color w:val="FF0000"/>
          <w:sz w:val="24"/>
          <w:szCs w:val="24"/>
        </w:rPr>
        <w:t xml:space="preserve"> in time for the next UK EITI Reconciliation subgroup meeting</w:t>
      </w:r>
      <w:r w:rsidR="00161C9C">
        <w:rPr>
          <w:i/>
          <w:iCs/>
          <w:color w:val="FF0000"/>
          <w:sz w:val="24"/>
          <w:szCs w:val="24"/>
        </w:rPr>
        <w:t xml:space="preserve"> on 20</w:t>
      </w:r>
      <w:r w:rsidR="00161C9C" w:rsidRPr="00161C9C">
        <w:rPr>
          <w:i/>
          <w:iCs/>
          <w:color w:val="FF0000"/>
          <w:sz w:val="24"/>
          <w:szCs w:val="24"/>
          <w:vertAlign w:val="superscript"/>
        </w:rPr>
        <w:t>th</w:t>
      </w:r>
      <w:r w:rsidR="00161C9C">
        <w:rPr>
          <w:i/>
          <w:iCs/>
          <w:color w:val="FF0000"/>
          <w:sz w:val="24"/>
          <w:szCs w:val="24"/>
        </w:rPr>
        <w:t xml:space="preserve"> February</w:t>
      </w:r>
      <w:r w:rsidRPr="00F32427">
        <w:rPr>
          <w:i/>
          <w:iCs/>
          <w:color w:val="FF0000"/>
          <w:sz w:val="24"/>
          <w:szCs w:val="24"/>
        </w:rPr>
        <w:t>).</w:t>
      </w:r>
    </w:p>
    <w:p w14:paraId="7E76619D" w14:textId="605D2D3C" w:rsidR="007C04CD" w:rsidRDefault="007C04CD" w:rsidP="003071FB">
      <w:pPr>
        <w:rPr>
          <w:b/>
          <w:bCs/>
          <w:sz w:val="24"/>
          <w:szCs w:val="24"/>
          <w:u w:val="single"/>
        </w:rPr>
      </w:pPr>
      <w:r>
        <w:rPr>
          <w:b/>
          <w:bCs/>
          <w:sz w:val="24"/>
          <w:szCs w:val="24"/>
          <w:u w:val="single"/>
        </w:rPr>
        <w:t>AOB</w:t>
      </w:r>
    </w:p>
    <w:p w14:paraId="37E3BD6E" w14:textId="763EB905" w:rsidR="00F95C86" w:rsidRPr="002E5305" w:rsidRDefault="00B238D7" w:rsidP="002E5305">
      <w:pPr>
        <w:rPr>
          <w:sz w:val="24"/>
          <w:szCs w:val="24"/>
        </w:rPr>
      </w:pPr>
      <w:r w:rsidRPr="002E5305">
        <w:rPr>
          <w:sz w:val="24"/>
          <w:szCs w:val="24"/>
        </w:rPr>
        <w:t>Consider whether the UK should ask companies to provide employment data</w:t>
      </w:r>
      <w:r w:rsidR="008A0455" w:rsidRPr="002E5305">
        <w:rPr>
          <w:sz w:val="24"/>
          <w:szCs w:val="24"/>
        </w:rPr>
        <w:t xml:space="preserve"> as part of the 2024 process at the meeting on 20</w:t>
      </w:r>
      <w:r w:rsidR="008A0455" w:rsidRPr="002E5305">
        <w:rPr>
          <w:sz w:val="24"/>
          <w:szCs w:val="24"/>
          <w:vertAlign w:val="superscript"/>
        </w:rPr>
        <w:t>th</w:t>
      </w:r>
      <w:r w:rsidR="008A0455" w:rsidRPr="002E5305">
        <w:rPr>
          <w:sz w:val="24"/>
          <w:szCs w:val="24"/>
        </w:rPr>
        <w:t xml:space="preserve"> February.</w:t>
      </w:r>
      <w:r w:rsidRPr="002E5305">
        <w:rPr>
          <w:sz w:val="24"/>
          <w:szCs w:val="24"/>
        </w:rPr>
        <w:t xml:space="preserve"> </w:t>
      </w:r>
    </w:p>
    <w:sectPr w:rsidR="00F95C86" w:rsidRPr="002E53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5998" w14:textId="77777777" w:rsidR="00C343D9" w:rsidRDefault="00C343D9" w:rsidP="003071FB">
      <w:pPr>
        <w:spacing w:after="0" w:line="240" w:lineRule="auto"/>
      </w:pPr>
      <w:r>
        <w:separator/>
      </w:r>
    </w:p>
  </w:endnote>
  <w:endnote w:type="continuationSeparator" w:id="0">
    <w:p w14:paraId="4D2EBBAE" w14:textId="77777777" w:rsidR="00C343D9" w:rsidRDefault="00C343D9" w:rsidP="003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47EF" w14:textId="77777777" w:rsidR="00E70850" w:rsidRDefault="00E7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2EF2" w14:textId="77777777" w:rsidR="00E70850" w:rsidRDefault="00E7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DA90" w14:textId="77777777" w:rsidR="00E70850" w:rsidRDefault="00E7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C67CB" w14:textId="77777777" w:rsidR="00C343D9" w:rsidRDefault="00C343D9" w:rsidP="003071FB">
      <w:pPr>
        <w:spacing w:after="0" w:line="240" w:lineRule="auto"/>
      </w:pPr>
      <w:r>
        <w:separator/>
      </w:r>
    </w:p>
  </w:footnote>
  <w:footnote w:type="continuationSeparator" w:id="0">
    <w:p w14:paraId="2AAFE823" w14:textId="77777777" w:rsidR="00C343D9" w:rsidRDefault="00C343D9" w:rsidP="003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DD7A" w14:textId="77777777" w:rsidR="00E70850" w:rsidRDefault="00E7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E1FB" w14:textId="77777777" w:rsidR="00E70850" w:rsidRDefault="00E70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D484" w14:textId="77777777" w:rsidR="00E70850" w:rsidRDefault="00E7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28"/>
    <w:multiLevelType w:val="hybridMultilevel"/>
    <w:tmpl w:val="CF2C6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723A"/>
    <w:multiLevelType w:val="multilevel"/>
    <w:tmpl w:val="78FE06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54372"/>
    <w:multiLevelType w:val="hybridMultilevel"/>
    <w:tmpl w:val="693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D6025"/>
    <w:multiLevelType w:val="hybridMultilevel"/>
    <w:tmpl w:val="A3940F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E11227"/>
    <w:multiLevelType w:val="hybridMultilevel"/>
    <w:tmpl w:val="10D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67145"/>
    <w:multiLevelType w:val="hybridMultilevel"/>
    <w:tmpl w:val="1778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12903"/>
    <w:multiLevelType w:val="hybridMultilevel"/>
    <w:tmpl w:val="7C66F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67EC2"/>
    <w:multiLevelType w:val="hybridMultilevel"/>
    <w:tmpl w:val="2C86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D1DF1"/>
    <w:multiLevelType w:val="hybridMultilevel"/>
    <w:tmpl w:val="7328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C4987"/>
    <w:multiLevelType w:val="hybridMultilevel"/>
    <w:tmpl w:val="2ADA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167B8"/>
    <w:multiLevelType w:val="hybridMultilevel"/>
    <w:tmpl w:val="AAA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03D90"/>
    <w:multiLevelType w:val="hybridMultilevel"/>
    <w:tmpl w:val="1B308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DF4ACF"/>
    <w:multiLevelType w:val="hybridMultilevel"/>
    <w:tmpl w:val="7486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93F4C"/>
    <w:multiLevelType w:val="hybridMultilevel"/>
    <w:tmpl w:val="1F8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F64BB"/>
    <w:multiLevelType w:val="hybridMultilevel"/>
    <w:tmpl w:val="6FF4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00011"/>
    <w:multiLevelType w:val="hybridMultilevel"/>
    <w:tmpl w:val="69F0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953F9"/>
    <w:multiLevelType w:val="hybridMultilevel"/>
    <w:tmpl w:val="5D5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4511B"/>
    <w:multiLevelType w:val="hybridMultilevel"/>
    <w:tmpl w:val="71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E2F4D"/>
    <w:multiLevelType w:val="hybridMultilevel"/>
    <w:tmpl w:val="8EB4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8335E"/>
    <w:multiLevelType w:val="hybridMultilevel"/>
    <w:tmpl w:val="A3940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6105575">
    <w:abstractNumId w:val="7"/>
  </w:num>
  <w:num w:numId="2" w16cid:durableId="2032606043">
    <w:abstractNumId w:val="8"/>
  </w:num>
  <w:num w:numId="3" w16cid:durableId="965042247">
    <w:abstractNumId w:val="14"/>
  </w:num>
  <w:num w:numId="4" w16cid:durableId="882715975">
    <w:abstractNumId w:val="10"/>
  </w:num>
  <w:num w:numId="5" w16cid:durableId="2128769817">
    <w:abstractNumId w:val="18"/>
  </w:num>
  <w:num w:numId="6" w16cid:durableId="1136531069">
    <w:abstractNumId w:val="17"/>
  </w:num>
  <w:num w:numId="7" w16cid:durableId="839202031">
    <w:abstractNumId w:val="1"/>
  </w:num>
  <w:num w:numId="8" w16cid:durableId="256527435">
    <w:abstractNumId w:val="5"/>
  </w:num>
  <w:num w:numId="9" w16cid:durableId="1921014772">
    <w:abstractNumId w:val="0"/>
  </w:num>
  <w:num w:numId="10" w16cid:durableId="1258322650">
    <w:abstractNumId w:val="6"/>
  </w:num>
  <w:num w:numId="11" w16cid:durableId="2044942598">
    <w:abstractNumId w:val="2"/>
  </w:num>
  <w:num w:numId="12" w16cid:durableId="640304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0705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1385518">
    <w:abstractNumId w:val="3"/>
  </w:num>
  <w:num w:numId="15" w16cid:durableId="984967133">
    <w:abstractNumId w:val="12"/>
  </w:num>
  <w:num w:numId="16" w16cid:durableId="576138074">
    <w:abstractNumId w:val="15"/>
  </w:num>
  <w:num w:numId="17" w16cid:durableId="900597758">
    <w:abstractNumId w:val="16"/>
  </w:num>
  <w:num w:numId="18" w16cid:durableId="476342834">
    <w:abstractNumId w:val="13"/>
  </w:num>
  <w:num w:numId="19" w16cid:durableId="1706636025">
    <w:abstractNumId w:val="9"/>
  </w:num>
  <w:num w:numId="20" w16cid:durableId="232787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6"/>
    <w:rsid w:val="00004CE1"/>
    <w:rsid w:val="00006DF8"/>
    <w:rsid w:val="00011B54"/>
    <w:rsid w:val="00021C18"/>
    <w:rsid w:val="000469B8"/>
    <w:rsid w:val="00061E36"/>
    <w:rsid w:val="000B4DF6"/>
    <w:rsid w:val="000C0FFD"/>
    <w:rsid w:val="000D195E"/>
    <w:rsid w:val="000E1561"/>
    <w:rsid w:val="000E1EB4"/>
    <w:rsid w:val="00123D8E"/>
    <w:rsid w:val="00153AF5"/>
    <w:rsid w:val="00161C9C"/>
    <w:rsid w:val="00165487"/>
    <w:rsid w:val="00193AFA"/>
    <w:rsid w:val="001C2C6A"/>
    <w:rsid w:val="001E3E0E"/>
    <w:rsid w:val="001F3AA3"/>
    <w:rsid w:val="001F6000"/>
    <w:rsid w:val="001F6B88"/>
    <w:rsid w:val="0021205E"/>
    <w:rsid w:val="00230724"/>
    <w:rsid w:val="00237929"/>
    <w:rsid w:val="00285FA8"/>
    <w:rsid w:val="002950F9"/>
    <w:rsid w:val="002D4FE9"/>
    <w:rsid w:val="002E357E"/>
    <w:rsid w:val="002E5305"/>
    <w:rsid w:val="003071FB"/>
    <w:rsid w:val="003075CD"/>
    <w:rsid w:val="00310EC6"/>
    <w:rsid w:val="00315376"/>
    <w:rsid w:val="00330EC0"/>
    <w:rsid w:val="00343A3F"/>
    <w:rsid w:val="003501CF"/>
    <w:rsid w:val="0035039C"/>
    <w:rsid w:val="00351112"/>
    <w:rsid w:val="00390A12"/>
    <w:rsid w:val="003E66AE"/>
    <w:rsid w:val="00400FCC"/>
    <w:rsid w:val="00402A11"/>
    <w:rsid w:val="00415014"/>
    <w:rsid w:val="004370CA"/>
    <w:rsid w:val="004432C8"/>
    <w:rsid w:val="00452A2A"/>
    <w:rsid w:val="00483FA5"/>
    <w:rsid w:val="00495524"/>
    <w:rsid w:val="004C4536"/>
    <w:rsid w:val="00516BC9"/>
    <w:rsid w:val="00517B2E"/>
    <w:rsid w:val="005253B2"/>
    <w:rsid w:val="0057329F"/>
    <w:rsid w:val="00586A91"/>
    <w:rsid w:val="005A629B"/>
    <w:rsid w:val="005C43FF"/>
    <w:rsid w:val="00621715"/>
    <w:rsid w:val="006337E7"/>
    <w:rsid w:val="00635887"/>
    <w:rsid w:val="00687AFB"/>
    <w:rsid w:val="006A43E2"/>
    <w:rsid w:val="006F31DF"/>
    <w:rsid w:val="007209AC"/>
    <w:rsid w:val="00726343"/>
    <w:rsid w:val="007467C9"/>
    <w:rsid w:val="00766FBD"/>
    <w:rsid w:val="007748CC"/>
    <w:rsid w:val="007B353B"/>
    <w:rsid w:val="007C04CD"/>
    <w:rsid w:val="007D5CDD"/>
    <w:rsid w:val="007F54F3"/>
    <w:rsid w:val="007F7D1E"/>
    <w:rsid w:val="008045E7"/>
    <w:rsid w:val="00813FD9"/>
    <w:rsid w:val="00820208"/>
    <w:rsid w:val="00842E3A"/>
    <w:rsid w:val="00853924"/>
    <w:rsid w:val="00871658"/>
    <w:rsid w:val="008A0455"/>
    <w:rsid w:val="008B1736"/>
    <w:rsid w:val="008C3A8E"/>
    <w:rsid w:val="008C7D33"/>
    <w:rsid w:val="008D7326"/>
    <w:rsid w:val="009109CB"/>
    <w:rsid w:val="00930B26"/>
    <w:rsid w:val="00943702"/>
    <w:rsid w:val="00944D26"/>
    <w:rsid w:val="00961FF0"/>
    <w:rsid w:val="00965825"/>
    <w:rsid w:val="00976240"/>
    <w:rsid w:val="00996757"/>
    <w:rsid w:val="009E6AA3"/>
    <w:rsid w:val="009F2239"/>
    <w:rsid w:val="00A17413"/>
    <w:rsid w:val="00A2701B"/>
    <w:rsid w:val="00A71C2F"/>
    <w:rsid w:val="00B07393"/>
    <w:rsid w:val="00B122B4"/>
    <w:rsid w:val="00B238D7"/>
    <w:rsid w:val="00B26065"/>
    <w:rsid w:val="00B2723C"/>
    <w:rsid w:val="00B405E3"/>
    <w:rsid w:val="00B75CE3"/>
    <w:rsid w:val="00C07B45"/>
    <w:rsid w:val="00C1484C"/>
    <w:rsid w:val="00C343D9"/>
    <w:rsid w:val="00C41D31"/>
    <w:rsid w:val="00C50D6B"/>
    <w:rsid w:val="00CD5E7E"/>
    <w:rsid w:val="00CD6C7E"/>
    <w:rsid w:val="00D02F2F"/>
    <w:rsid w:val="00D34712"/>
    <w:rsid w:val="00D40E28"/>
    <w:rsid w:val="00D57A8F"/>
    <w:rsid w:val="00D6280B"/>
    <w:rsid w:val="00D6457C"/>
    <w:rsid w:val="00D65AC3"/>
    <w:rsid w:val="00D8348F"/>
    <w:rsid w:val="00D94D36"/>
    <w:rsid w:val="00DA7B5F"/>
    <w:rsid w:val="00DB08F9"/>
    <w:rsid w:val="00DE0A2F"/>
    <w:rsid w:val="00DE33EF"/>
    <w:rsid w:val="00E040B4"/>
    <w:rsid w:val="00E30694"/>
    <w:rsid w:val="00E51641"/>
    <w:rsid w:val="00E5410F"/>
    <w:rsid w:val="00E70850"/>
    <w:rsid w:val="00E9151A"/>
    <w:rsid w:val="00E9226B"/>
    <w:rsid w:val="00EA54A0"/>
    <w:rsid w:val="00EB7E9E"/>
    <w:rsid w:val="00EE608C"/>
    <w:rsid w:val="00EF0B9D"/>
    <w:rsid w:val="00F02FE1"/>
    <w:rsid w:val="00F12705"/>
    <w:rsid w:val="00F21865"/>
    <w:rsid w:val="00F32427"/>
    <w:rsid w:val="00F95C86"/>
    <w:rsid w:val="00FC26BC"/>
    <w:rsid w:val="00FD1D48"/>
    <w:rsid w:val="00FD696B"/>
    <w:rsid w:val="00FF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A4C0"/>
  <w15:chartTrackingRefBased/>
  <w15:docId w15:val="{E395E108-95F7-4C0F-9B3F-142726D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76"/>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76"/>
    <w:pPr>
      <w:ind w:left="720"/>
      <w:contextualSpacing/>
    </w:pPr>
  </w:style>
  <w:style w:type="paragraph" w:styleId="Header">
    <w:name w:val="header"/>
    <w:basedOn w:val="Normal"/>
    <w:link w:val="HeaderChar"/>
    <w:uiPriority w:val="99"/>
    <w:unhideWhenUsed/>
    <w:rsid w:val="00315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6"/>
    <w:rPr>
      <w:kern w:val="0"/>
      <w14:ligatures w14:val="none"/>
    </w:rPr>
  </w:style>
  <w:style w:type="paragraph" w:styleId="Footer">
    <w:name w:val="footer"/>
    <w:basedOn w:val="Normal"/>
    <w:link w:val="FooterChar"/>
    <w:uiPriority w:val="99"/>
    <w:unhideWhenUsed/>
    <w:rsid w:val="00315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6"/>
    <w:rPr>
      <w:kern w:val="0"/>
      <w14:ligatures w14:val="none"/>
    </w:rPr>
  </w:style>
  <w:style w:type="table" w:styleId="TableGrid">
    <w:name w:val="Table Grid"/>
    <w:basedOn w:val="TableNormal"/>
    <w:rsid w:val="003071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9F"/>
    <w:rPr>
      <w:color w:val="0563C1" w:themeColor="hyperlink"/>
      <w:u w:val="single"/>
    </w:rPr>
  </w:style>
  <w:style w:type="character" w:styleId="UnresolvedMention">
    <w:name w:val="Unresolved Mention"/>
    <w:basedOn w:val="DefaultParagraphFont"/>
    <w:uiPriority w:val="99"/>
    <w:semiHidden/>
    <w:unhideWhenUsed/>
    <w:rsid w:val="00B07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764226">
      <w:bodyDiv w:val="1"/>
      <w:marLeft w:val="0"/>
      <w:marRight w:val="0"/>
      <w:marTop w:val="0"/>
      <w:marBottom w:val="0"/>
      <w:divBdr>
        <w:top w:val="none" w:sz="0" w:space="0" w:color="auto"/>
        <w:left w:val="none" w:sz="0" w:space="0" w:color="auto"/>
        <w:bottom w:val="none" w:sz="0" w:space="0" w:color="auto"/>
        <w:right w:val="none" w:sz="0" w:space="0" w:color="auto"/>
      </w:divBdr>
    </w:div>
    <w:div w:id="1086071841">
      <w:bodyDiv w:val="1"/>
      <w:marLeft w:val="0"/>
      <w:marRight w:val="0"/>
      <w:marTop w:val="0"/>
      <w:marBottom w:val="0"/>
      <w:divBdr>
        <w:top w:val="none" w:sz="0" w:space="0" w:color="auto"/>
        <w:left w:val="none" w:sz="0" w:space="0" w:color="auto"/>
        <w:bottom w:val="none" w:sz="0" w:space="0" w:color="auto"/>
        <w:right w:val="none" w:sz="0" w:space="0" w:color="auto"/>
      </w:divBdr>
    </w:div>
    <w:div w:id="21155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iti.org/sites/default/files/2024-04/2023%20EITI%20Standard_Parts1-2-3.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59</cp:revision>
  <dcterms:created xsi:type="dcterms:W3CDTF">2025-02-06T14:10:00Z</dcterms:created>
  <dcterms:modified xsi:type="dcterms:W3CDTF">2025-02-07T07:35:00Z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2024-02-02T10:24:53Z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c332b46f-84b4-48b0-8037-f53be373c7e7</vt:lpwstr>
  </property>
  <property fmtid="{D5CDD505-2E9C-101B-9397-08002B2CF9AE}" pid="8" name="MSIP_Label_ba62f585-b40f-4ab9-bafe-39150f03d124_ContentBits">
    <vt:lpwstr>0</vt:lpwstr>
  </property>
</Properties>
</file>